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31" w:rsidRPr="00D2481A" w:rsidRDefault="003D1231" w:rsidP="00D2481A">
      <w:pPr>
        <w:spacing w:line="360" w:lineRule="auto"/>
        <w:jc w:val="center"/>
        <w:rPr>
          <w:rFonts w:ascii="Bookman Old Style" w:hAnsi="Bookman Old Style"/>
          <w:b/>
          <w:caps/>
        </w:rPr>
      </w:pPr>
      <w:r w:rsidRPr="00D2481A">
        <w:rPr>
          <w:rFonts w:ascii="Bookman Old Style" w:hAnsi="Bookman Old Style"/>
          <w:b/>
          <w:caps/>
        </w:rPr>
        <w:t>Betriebskosten für Mieter</w:t>
      </w:r>
    </w:p>
    <w:p w:rsidR="003D1231" w:rsidRDefault="003D1231" w:rsidP="003D1231">
      <w:pPr>
        <w:spacing w:line="360" w:lineRule="auto"/>
        <w:rPr>
          <w:rFonts w:ascii="Bookman Old Style" w:hAnsi="Bookman Old Style"/>
        </w:rPr>
      </w:pPr>
    </w:p>
    <w:p w:rsidR="00D2481A" w:rsidRDefault="00D2481A" w:rsidP="003D1231">
      <w:pPr>
        <w:spacing w:line="360" w:lineRule="auto"/>
        <w:rPr>
          <w:rFonts w:ascii="Bookman Old Style" w:hAnsi="Bookman Old Style"/>
        </w:rPr>
      </w:pPr>
    </w:p>
    <w:p w:rsidR="003D1231" w:rsidRDefault="003D1231" w:rsidP="003D1231">
      <w:pPr>
        <w:tabs>
          <w:tab w:val="left" w:pos="1418"/>
        </w:tabs>
        <w:spacing w:line="360" w:lineRule="auto"/>
        <w:jc w:val="both"/>
        <w:rPr>
          <w:rFonts w:ascii="Bookman Old Style" w:hAnsi="Bookman Old Style"/>
        </w:rPr>
      </w:pPr>
      <w:r>
        <w:rPr>
          <w:rFonts w:ascii="Bookman Old Style" w:hAnsi="Bookman Old Style"/>
        </w:rPr>
        <w:t xml:space="preserve">Man </w:t>
      </w:r>
      <w:r w:rsidR="001B4F41">
        <w:rPr>
          <w:rFonts w:ascii="Bookman Old Style" w:hAnsi="Bookman Old Style"/>
        </w:rPr>
        <w:t>be</w:t>
      </w:r>
      <w:r>
        <w:rPr>
          <w:rFonts w:ascii="Bookman Old Style" w:hAnsi="Bookman Old Style"/>
        </w:rPr>
        <w:t xml:space="preserve">zieht </w:t>
      </w:r>
      <w:r w:rsidR="001B4F41">
        <w:rPr>
          <w:rFonts w:ascii="Bookman Old Style" w:hAnsi="Bookman Old Style"/>
        </w:rPr>
        <w:t xml:space="preserve">am </w:t>
      </w:r>
      <w:r>
        <w:rPr>
          <w:rFonts w:ascii="Bookman Old Style" w:hAnsi="Bookman Old Style"/>
        </w:rPr>
        <w:t>01.0</w:t>
      </w:r>
      <w:r w:rsidR="00410BFA">
        <w:rPr>
          <w:rFonts w:ascii="Bookman Old Style" w:hAnsi="Bookman Old Style"/>
        </w:rPr>
        <w:t>6</w:t>
      </w:r>
      <w:r>
        <w:rPr>
          <w:rFonts w:ascii="Bookman Old Style" w:hAnsi="Bookman Old Style"/>
        </w:rPr>
        <w:t xml:space="preserve"> </w:t>
      </w:r>
      <w:r w:rsidR="001B4F41">
        <w:rPr>
          <w:rFonts w:ascii="Bookman Old Style" w:hAnsi="Bookman Old Style"/>
        </w:rPr>
        <w:t xml:space="preserve">eine schöne neue Wohnung </w:t>
      </w:r>
      <w:r>
        <w:rPr>
          <w:rFonts w:ascii="Bookman Old Style" w:hAnsi="Bookman Old Style"/>
        </w:rPr>
        <w:t xml:space="preserve">und nach 2 Monaten </w:t>
      </w:r>
      <w:r w:rsidR="001B4F41">
        <w:rPr>
          <w:rFonts w:ascii="Bookman Old Style" w:hAnsi="Bookman Old Style"/>
        </w:rPr>
        <w:t xml:space="preserve">erhält man Post vom Vermieter mit der Aufforderung einer Betriebskostennachzahlung in Höhe von € 800,00. </w:t>
      </w:r>
      <w:r>
        <w:rPr>
          <w:rFonts w:ascii="Bookman Old Style" w:hAnsi="Bookman Old Style"/>
        </w:rPr>
        <w:t xml:space="preserve">Die postwendende Antwort des Mieters ist schnell </w:t>
      </w:r>
      <w:r w:rsidR="00B634B5">
        <w:rPr>
          <w:rFonts w:ascii="Bookman Old Style" w:hAnsi="Bookman Old Style"/>
        </w:rPr>
        <w:t>gefunden</w:t>
      </w:r>
      <w:r>
        <w:rPr>
          <w:rFonts w:ascii="Bookman Old Style" w:hAnsi="Bookman Old Style"/>
        </w:rPr>
        <w:t xml:space="preserve">: </w:t>
      </w:r>
      <w:r w:rsidRPr="00B634B5">
        <w:rPr>
          <w:rFonts w:ascii="Bookman Old Style" w:hAnsi="Bookman Old Style"/>
          <w:i/>
        </w:rPr>
        <w:t>„Die Betriebskostennachzahlung betrifft den Vormieter und nicht mich</w:t>
      </w:r>
      <w:r w:rsidR="00B634B5" w:rsidRPr="00B634B5">
        <w:rPr>
          <w:rFonts w:ascii="Bookman Old Style" w:hAnsi="Bookman Old Style"/>
          <w:i/>
        </w:rPr>
        <w:t>!</w:t>
      </w:r>
      <w:r w:rsidRPr="00B634B5">
        <w:rPr>
          <w:rFonts w:ascii="Bookman Old Style" w:hAnsi="Bookman Old Style"/>
          <w:i/>
        </w:rPr>
        <w:t>“</w:t>
      </w:r>
      <w:r>
        <w:rPr>
          <w:rFonts w:ascii="Bookman Old Style" w:hAnsi="Bookman Old Style"/>
        </w:rPr>
        <w:t xml:space="preserve">. </w:t>
      </w:r>
      <w:r w:rsidR="00B634B5">
        <w:rPr>
          <w:rFonts w:ascii="Bookman Old Style" w:hAnsi="Bookman Old Style"/>
        </w:rPr>
        <w:t>Damit ist alles erledigt? Mitnichten.</w:t>
      </w:r>
    </w:p>
    <w:p w:rsidR="00B634B5" w:rsidRDefault="00B634B5" w:rsidP="003D1231">
      <w:pPr>
        <w:tabs>
          <w:tab w:val="left" w:pos="1418"/>
        </w:tabs>
        <w:spacing w:line="360" w:lineRule="auto"/>
        <w:jc w:val="both"/>
        <w:rPr>
          <w:rFonts w:ascii="Bookman Old Style" w:hAnsi="Bookman Old Style"/>
        </w:rPr>
      </w:pPr>
      <w:bookmarkStart w:id="0" w:name="_GoBack"/>
      <w:bookmarkEnd w:id="0"/>
    </w:p>
    <w:p w:rsidR="00416CBE" w:rsidRDefault="002A76E0" w:rsidP="00416CBE">
      <w:pPr>
        <w:tabs>
          <w:tab w:val="left" w:pos="1418"/>
        </w:tabs>
        <w:spacing w:line="360" w:lineRule="auto"/>
        <w:jc w:val="both"/>
        <w:rPr>
          <w:rFonts w:ascii="Bookman Old Style" w:hAnsi="Bookman Old Style"/>
        </w:rPr>
      </w:pPr>
      <w:r>
        <w:rPr>
          <w:rFonts w:ascii="Bookman Old Style" w:hAnsi="Bookman Old Style"/>
        </w:rPr>
        <w:t xml:space="preserve">Zunächst gilt es abzuklären was der Vermieter als Betriebskosten überhaupt an den Mieter weiter verrechnen darf: </w:t>
      </w:r>
      <w:r w:rsidR="00416CBE">
        <w:rPr>
          <w:rFonts w:ascii="Bookman Old Style" w:hAnsi="Bookman Old Style"/>
        </w:rPr>
        <w:t xml:space="preserve">Im so genannten </w:t>
      </w:r>
      <w:r w:rsidR="00416CBE" w:rsidRPr="00EB3EE1">
        <w:rPr>
          <w:rFonts w:ascii="Bookman Old Style" w:hAnsi="Bookman Old Style"/>
          <w:u w:val="single"/>
        </w:rPr>
        <w:t xml:space="preserve">Vollanwendungsbereich des </w:t>
      </w:r>
      <w:proofErr w:type="spellStart"/>
      <w:r w:rsidR="00416CBE" w:rsidRPr="00EB3EE1">
        <w:rPr>
          <w:rFonts w:ascii="Bookman Old Style" w:hAnsi="Bookman Old Style"/>
          <w:u w:val="single"/>
        </w:rPr>
        <w:t>M</w:t>
      </w:r>
      <w:r>
        <w:rPr>
          <w:rFonts w:ascii="Bookman Old Style" w:hAnsi="Bookman Old Style"/>
          <w:u w:val="single"/>
        </w:rPr>
        <w:t>ietrechsgesetzes</w:t>
      </w:r>
      <w:proofErr w:type="spellEnd"/>
      <w:r w:rsidR="00416CBE" w:rsidRPr="00EB3EE1">
        <w:rPr>
          <w:rFonts w:ascii="Bookman Old Style" w:hAnsi="Bookman Old Style"/>
        </w:rPr>
        <w:t xml:space="preserve"> </w:t>
      </w:r>
      <w:r>
        <w:rPr>
          <w:rFonts w:ascii="Bookman Old Style" w:hAnsi="Bookman Old Style"/>
        </w:rPr>
        <w:t xml:space="preserve">und in jenem des WGG (bei Genossenschaftswohnungen) </w:t>
      </w:r>
      <w:r w:rsidR="00416CBE">
        <w:rPr>
          <w:rFonts w:ascii="Bookman Old Style" w:hAnsi="Bookman Old Style"/>
        </w:rPr>
        <w:t>sind die vom Mieter zu tragenden Betriebskosten exakt aufgelistet: W</w:t>
      </w:r>
      <w:r w:rsidR="00416CBE" w:rsidRPr="00416CBE">
        <w:rPr>
          <w:rFonts w:ascii="Bookman Old Style" w:hAnsi="Bookman Old Style"/>
        </w:rPr>
        <w:t>assergebühren</w:t>
      </w:r>
      <w:r w:rsidR="00416CBE">
        <w:rPr>
          <w:rFonts w:ascii="Bookman Old Style" w:hAnsi="Bookman Old Style"/>
        </w:rPr>
        <w:t>,</w:t>
      </w:r>
      <w:r w:rsidR="00416CBE" w:rsidRPr="00416CBE">
        <w:rPr>
          <w:rFonts w:ascii="Bookman Old Style" w:hAnsi="Bookman Old Style"/>
        </w:rPr>
        <w:t xml:space="preserve"> Kosten für Schädlingsbekämpfung</w:t>
      </w:r>
      <w:r w:rsidR="00416CBE">
        <w:rPr>
          <w:rFonts w:ascii="Bookman Old Style" w:hAnsi="Bookman Old Style"/>
        </w:rPr>
        <w:t xml:space="preserve">, </w:t>
      </w:r>
      <w:proofErr w:type="spellStart"/>
      <w:r w:rsidR="00416CBE">
        <w:rPr>
          <w:rFonts w:ascii="Bookman Old Style" w:hAnsi="Bookman Old Style"/>
        </w:rPr>
        <w:t>Rauchfangkehrerkosten</w:t>
      </w:r>
      <w:proofErr w:type="spellEnd"/>
      <w:r w:rsidR="00416CBE">
        <w:rPr>
          <w:rFonts w:ascii="Bookman Old Style" w:hAnsi="Bookman Old Style"/>
        </w:rPr>
        <w:t xml:space="preserve">, </w:t>
      </w:r>
      <w:r w:rsidR="00416CBE" w:rsidRPr="00416CBE">
        <w:rPr>
          <w:rFonts w:ascii="Bookman Old Style" w:hAnsi="Bookman Old Style"/>
        </w:rPr>
        <w:t xml:space="preserve">Kosten der </w:t>
      </w:r>
      <w:proofErr w:type="spellStart"/>
      <w:r w:rsidR="00416CBE" w:rsidRPr="00416CBE">
        <w:rPr>
          <w:rFonts w:ascii="Bookman Old Style" w:hAnsi="Bookman Old Style"/>
        </w:rPr>
        <w:t>Unratentfernung</w:t>
      </w:r>
      <w:proofErr w:type="spellEnd"/>
      <w:r w:rsidR="00416CBE" w:rsidRPr="00416CBE">
        <w:rPr>
          <w:rFonts w:ascii="Bookman Old Style" w:hAnsi="Bookman Old Style"/>
        </w:rPr>
        <w:t xml:space="preserve"> (</w:t>
      </w:r>
      <w:r w:rsidR="00416CBE">
        <w:rPr>
          <w:rFonts w:ascii="Bookman Old Style" w:hAnsi="Bookman Old Style"/>
        </w:rPr>
        <w:t xml:space="preserve">beispielsweise Müllabfuhr und Entrümpelung), Grundsteuer, </w:t>
      </w:r>
      <w:r w:rsidR="00416CBE" w:rsidRPr="00416CBE">
        <w:rPr>
          <w:rFonts w:ascii="Bookman Old Style" w:hAnsi="Bookman Old Style"/>
        </w:rPr>
        <w:t>Stromkosten (für die Beleucht</w:t>
      </w:r>
      <w:r w:rsidR="00416CBE">
        <w:rPr>
          <w:rFonts w:ascii="Bookman Old Style" w:hAnsi="Bookman Old Style"/>
        </w:rPr>
        <w:t xml:space="preserve">ung des Stiegenhaus, Glühbirnen), </w:t>
      </w:r>
      <w:r w:rsidR="00416CBE" w:rsidRPr="00416CBE">
        <w:rPr>
          <w:rFonts w:ascii="Bookman Old Style" w:hAnsi="Bookman Old Style"/>
        </w:rPr>
        <w:t>Versicherungs</w:t>
      </w:r>
      <w:r w:rsidR="00416CBE">
        <w:rPr>
          <w:rFonts w:ascii="Bookman Old Style" w:hAnsi="Bookman Old Style"/>
        </w:rPr>
        <w:t xml:space="preserve">prämien, Verwaltungshonorar, </w:t>
      </w:r>
      <w:r w:rsidR="00416CBE" w:rsidRPr="00416CBE">
        <w:rPr>
          <w:rFonts w:ascii="Bookman Old Style" w:hAnsi="Bookman Old Style"/>
        </w:rPr>
        <w:t>Hausreinigungskosten</w:t>
      </w:r>
      <w:r w:rsidR="00416CBE">
        <w:rPr>
          <w:rFonts w:ascii="Bookman Old Style" w:hAnsi="Bookman Old Style"/>
        </w:rPr>
        <w:t xml:space="preserve"> und </w:t>
      </w:r>
      <w:r w:rsidR="00416CBE" w:rsidRPr="00416CBE">
        <w:rPr>
          <w:rFonts w:ascii="Bookman Old Style" w:hAnsi="Bookman Old Style"/>
        </w:rPr>
        <w:t xml:space="preserve">Kosten </w:t>
      </w:r>
      <w:r w:rsidR="00416CBE">
        <w:rPr>
          <w:rFonts w:ascii="Bookman Old Style" w:hAnsi="Bookman Old Style"/>
        </w:rPr>
        <w:t>für von den Mietern gemeinsam zu nutzende</w:t>
      </w:r>
      <w:r w:rsidR="00416CBE" w:rsidRPr="00416CBE">
        <w:rPr>
          <w:rFonts w:ascii="Bookman Old Style" w:hAnsi="Bookman Old Style"/>
        </w:rPr>
        <w:t xml:space="preserve"> Gemeinschaftsanlagen</w:t>
      </w:r>
      <w:r w:rsidR="00416CBE">
        <w:rPr>
          <w:rFonts w:ascii="Bookman Old Style" w:hAnsi="Bookman Old Style"/>
        </w:rPr>
        <w:t>.</w:t>
      </w:r>
    </w:p>
    <w:p w:rsidR="00416CBE" w:rsidRDefault="00416CBE" w:rsidP="00416CBE">
      <w:pPr>
        <w:tabs>
          <w:tab w:val="left" w:pos="1418"/>
        </w:tabs>
        <w:spacing w:line="360" w:lineRule="auto"/>
        <w:jc w:val="both"/>
        <w:rPr>
          <w:rFonts w:ascii="Bookman Old Style" w:hAnsi="Bookman Old Style"/>
        </w:rPr>
      </w:pPr>
    </w:p>
    <w:p w:rsidR="00416CBE" w:rsidRPr="00416CBE" w:rsidRDefault="00416CBE" w:rsidP="00416CBE">
      <w:pPr>
        <w:tabs>
          <w:tab w:val="left" w:pos="1418"/>
        </w:tabs>
        <w:spacing w:line="360" w:lineRule="auto"/>
        <w:jc w:val="both"/>
        <w:rPr>
          <w:rFonts w:ascii="Bookman Old Style" w:hAnsi="Bookman Old Style"/>
        </w:rPr>
      </w:pPr>
      <w:r>
        <w:rPr>
          <w:rFonts w:ascii="Bookman Old Style" w:hAnsi="Bookman Old Style"/>
        </w:rPr>
        <w:t>Andere Kosten wie etwa jene für die Repara</w:t>
      </w:r>
      <w:r w:rsidR="00EB3EE1">
        <w:rPr>
          <w:rFonts w:ascii="Bookman Old Style" w:hAnsi="Bookman Old Style"/>
        </w:rPr>
        <w:t xml:space="preserve">turen von Aufzügen oder die Installation von Gegensprechanlagen sind </w:t>
      </w:r>
      <w:r w:rsidR="002A76E0">
        <w:rPr>
          <w:rFonts w:ascii="Bookman Old Style" w:hAnsi="Bookman Old Style"/>
        </w:rPr>
        <w:t>jedenfalls</w:t>
      </w:r>
      <w:r w:rsidR="00EB3EE1">
        <w:rPr>
          <w:rFonts w:ascii="Bookman Old Style" w:hAnsi="Bookman Old Style"/>
        </w:rPr>
        <w:t xml:space="preserve"> vom Vermieter zu tragen. </w:t>
      </w:r>
    </w:p>
    <w:p w:rsidR="00EB3EE1" w:rsidRDefault="00EB3EE1" w:rsidP="00416CBE">
      <w:pPr>
        <w:tabs>
          <w:tab w:val="left" w:pos="1418"/>
        </w:tabs>
        <w:spacing w:line="360" w:lineRule="auto"/>
        <w:jc w:val="both"/>
        <w:rPr>
          <w:rFonts w:ascii="Bookman Old Style" w:hAnsi="Bookman Old Style"/>
        </w:rPr>
      </w:pPr>
    </w:p>
    <w:p w:rsidR="00C95D47" w:rsidRDefault="001B4F41" w:rsidP="00416CBE">
      <w:pPr>
        <w:tabs>
          <w:tab w:val="left" w:pos="1418"/>
        </w:tabs>
        <w:spacing w:line="360" w:lineRule="auto"/>
        <w:jc w:val="both"/>
        <w:rPr>
          <w:rFonts w:ascii="Bookman Old Style" w:hAnsi="Bookman Old Style"/>
        </w:rPr>
      </w:pPr>
      <w:r>
        <w:rPr>
          <w:rFonts w:ascii="Bookman Old Style" w:hAnsi="Bookman Old Style"/>
        </w:rPr>
        <w:t>Im Vollanwendungsbereich des</w:t>
      </w:r>
      <w:r w:rsidR="007156CB">
        <w:rPr>
          <w:rFonts w:ascii="Bookman Old Style" w:hAnsi="Bookman Old Style"/>
        </w:rPr>
        <w:t xml:space="preserve"> Mietrechtsgesetzes muss der Vermieter die Betriebskosten</w:t>
      </w:r>
      <w:r w:rsidR="00B142D7">
        <w:rPr>
          <w:rFonts w:ascii="Bookman Old Style" w:hAnsi="Bookman Old Style"/>
        </w:rPr>
        <w:t xml:space="preserve"> </w:t>
      </w:r>
      <w:r w:rsidR="007156CB">
        <w:rPr>
          <w:rFonts w:ascii="Bookman Old Style" w:hAnsi="Bookman Old Style"/>
        </w:rPr>
        <w:t xml:space="preserve">spätestens </w:t>
      </w:r>
      <w:r w:rsidR="00C95D47">
        <w:rPr>
          <w:rFonts w:ascii="Bookman Old Style" w:hAnsi="Bookman Old Style"/>
        </w:rPr>
        <w:t xml:space="preserve">zum </w:t>
      </w:r>
      <w:r w:rsidR="007156CB">
        <w:rPr>
          <w:rFonts w:ascii="Bookman Old Style" w:hAnsi="Bookman Old Style"/>
        </w:rPr>
        <w:t xml:space="preserve">30.06 </w:t>
      </w:r>
      <w:r w:rsidR="00C95D47">
        <w:rPr>
          <w:rFonts w:ascii="Bookman Old Style" w:hAnsi="Bookman Old Style"/>
        </w:rPr>
        <w:t xml:space="preserve">des Folgejahres </w:t>
      </w:r>
      <w:r w:rsidR="007156CB">
        <w:rPr>
          <w:rFonts w:ascii="Bookman Old Style" w:hAnsi="Bookman Old Style"/>
        </w:rPr>
        <w:t>a</w:t>
      </w:r>
      <w:r w:rsidR="00C95D47">
        <w:rPr>
          <w:rFonts w:ascii="Bookman Old Style" w:hAnsi="Bookman Old Style"/>
        </w:rPr>
        <w:t>brechnen, das heißt er muss bis zu diesem Tag ein</w:t>
      </w:r>
      <w:r w:rsidR="00C95D47" w:rsidRPr="00C95D47">
        <w:rPr>
          <w:rFonts w:ascii="Bookman Old Style" w:hAnsi="Bookman Old Style"/>
        </w:rPr>
        <w:t xml:space="preserve"> übersichtliches Verzeichnis aller Einnahmen und Ausgaben</w:t>
      </w:r>
      <w:r w:rsidR="00C95D47">
        <w:rPr>
          <w:rFonts w:ascii="Bookman Old Style" w:hAnsi="Bookman Old Style"/>
        </w:rPr>
        <w:t xml:space="preserve"> erstellen und dem Mieter inklusiver der Belege zur Einsicht geben. </w:t>
      </w:r>
    </w:p>
    <w:p w:rsidR="00C95D47" w:rsidRDefault="00C95D47" w:rsidP="00416CBE">
      <w:pPr>
        <w:tabs>
          <w:tab w:val="left" w:pos="1418"/>
        </w:tabs>
        <w:spacing w:line="360" w:lineRule="auto"/>
        <w:jc w:val="both"/>
        <w:rPr>
          <w:rFonts w:ascii="Bookman Old Style" w:hAnsi="Bookman Old Style"/>
        </w:rPr>
      </w:pPr>
    </w:p>
    <w:p w:rsidR="007156CB" w:rsidRDefault="00410BFA" w:rsidP="00416CBE">
      <w:pPr>
        <w:tabs>
          <w:tab w:val="left" w:pos="1418"/>
        </w:tabs>
        <w:spacing w:line="360" w:lineRule="auto"/>
        <w:jc w:val="both"/>
        <w:rPr>
          <w:rFonts w:ascii="Bookman Old Style" w:hAnsi="Bookman Old Style"/>
        </w:rPr>
      </w:pPr>
      <w:r>
        <w:rPr>
          <w:rFonts w:ascii="Bookman Old Style" w:hAnsi="Bookman Old Style"/>
        </w:rPr>
        <w:t>B</w:t>
      </w:r>
      <w:r w:rsidR="00B142D7">
        <w:rPr>
          <w:rFonts w:ascii="Bookman Old Style" w:hAnsi="Bookman Old Style"/>
        </w:rPr>
        <w:t xml:space="preserve">is zum 31.12. des Folgejahres </w:t>
      </w:r>
      <w:r>
        <w:rPr>
          <w:rFonts w:ascii="Bookman Old Style" w:hAnsi="Bookman Old Style"/>
        </w:rPr>
        <w:t xml:space="preserve">muss der Vermieter </w:t>
      </w:r>
      <w:r w:rsidR="00B142D7">
        <w:rPr>
          <w:rFonts w:ascii="Bookman Old Style" w:hAnsi="Bookman Old Style"/>
        </w:rPr>
        <w:t xml:space="preserve">gegenüber dem Mieter die Ausgaben bekannt geben, welche er an diesen weiterverrechnen möchte. Unterlässt der Vermieter die fristgerechte Geltendmachung der </w:t>
      </w:r>
      <w:r w:rsidR="00B142D7">
        <w:rPr>
          <w:rFonts w:ascii="Bookman Old Style" w:hAnsi="Bookman Old Style"/>
        </w:rPr>
        <w:lastRenderedPageBreak/>
        <w:t xml:space="preserve">Betriebskosten, </w:t>
      </w:r>
      <w:r>
        <w:rPr>
          <w:rFonts w:ascii="Bookman Old Style" w:hAnsi="Bookman Old Style"/>
        </w:rPr>
        <w:t xml:space="preserve">ist eine Zahlungsaufforderung gegenüber dem Mieter unzulässig. </w:t>
      </w:r>
    </w:p>
    <w:p w:rsidR="00B142D7" w:rsidRDefault="00B142D7" w:rsidP="00416CBE">
      <w:pPr>
        <w:tabs>
          <w:tab w:val="left" w:pos="1418"/>
        </w:tabs>
        <w:spacing w:line="360" w:lineRule="auto"/>
        <w:jc w:val="both"/>
        <w:rPr>
          <w:rFonts w:ascii="Bookman Old Style" w:hAnsi="Bookman Old Style"/>
        </w:rPr>
      </w:pPr>
    </w:p>
    <w:p w:rsidR="00B142D7" w:rsidRDefault="00B142D7" w:rsidP="00416CBE">
      <w:pPr>
        <w:tabs>
          <w:tab w:val="left" w:pos="1418"/>
        </w:tabs>
        <w:spacing w:line="360" w:lineRule="auto"/>
        <w:jc w:val="both"/>
        <w:rPr>
          <w:rFonts w:ascii="Bookman Old Style" w:hAnsi="Bookman Old Style"/>
        </w:rPr>
      </w:pPr>
      <w:r>
        <w:rPr>
          <w:rFonts w:ascii="Bookman Old Style" w:hAnsi="Bookman Old Style"/>
        </w:rPr>
        <w:t xml:space="preserve">Hierzu ein kleines Beispiel: </w:t>
      </w:r>
      <w:r w:rsidR="00410BFA">
        <w:rPr>
          <w:rFonts w:ascii="Bookman Old Style" w:hAnsi="Bookman Old Style"/>
        </w:rPr>
        <w:t>Der Vermieter muss d</w:t>
      </w:r>
      <w:r>
        <w:rPr>
          <w:rFonts w:ascii="Bookman Old Style" w:hAnsi="Bookman Old Style"/>
        </w:rPr>
        <w:t xml:space="preserve">ie Betriebskosten aus dem Jahr 2014 bis zum 30.06.2015 abrechnen und dem Mieter diese Abrechnung vorlegen. Eine Aufforderung zur Betriebskostennachzahlung ist bis zum 31.12.2015 zulässig. </w:t>
      </w:r>
    </w:p>
    <w:p w:rsidR="00B142D7" w:rsidRDefault="00B142D7" w:rsidP="00416CBE">
      <w:pPr>
        <w:tabs>
          <w:tab w:val="left" w:pos="1418"/>
        </w:tabs>
        <w:spacing w:line="360" w:lineRule="auto"/>
        <w:jc w:val="both"/>
        <w:rPr>
          <w:rFonts w:ascii="Bookman Old Style" w:hAnsi="Bookman Old Style"/>
        </w:rPr>
      </w:pPr>
    </w:p>
    <w:p w:rsidR="000C0CDA" w:rsidRDefault="001B4F41" w:rsidP="00416CBE">
      <w:pPr>
        <w:tabs>
          <w:tab w:val="left" w:pos="1418"/>
        </w:tabs>
        <w:spacing w:line="360" w:lineRule="auto"/>
        <w:jc w:val="both"/>
        <w:rPr>
          <w:rFonts w:ascii="Bookman Old Style" w:hAnsi="Bookman Old Style"/>
        </w:rPr>
      </w:pPr>
      <w:r>
        <w:rPr>
          <w:rFonts w:ascii="Bookman Old Style" w:hAnsi="Bookman Old Style"/>
        </w:rPr>
        <w:t xml:space="preserve">Zurückkommend auf anfängliches Beispiel ist Folgendes festzuhalten: </w:t>
      </w:r>
      <w:r w:rsidR="0001462A">
        <w:rPr>
          <w:rFonts w:ascii="Bookman Old Style" w:hAnsi="Bookman Old Style"/>
        </w:rPr>
        <w:t xml:space="preserve">Im Vollanwendungsbereich des MRG trifft denjenigen Mieter die Betriebskostennachzahlungspflicht, der im Zeitpunkt der Fälligkeit </w:t>
      </w:r>
      <w:r w:rsidR="000C0CDA">
        <w:rPr>
          <w:rFonts w:ascii="Bookman Old Style" w:hAnsi="Bookman Old Style"/>
        </w:rPr>
        <w:t xml:space="preserve">(übernächster Zinstermin ab Legung der Betriebskostenabrechnung) Hauptmieter des Mietobjektes war. </w:t>
      </w:r>
    </w:p>
    <w:p w:rsidR="000C0CDA" w:rsidRDefault="000C0CDA" w:rsidP="00416CBE">
      <w:pPr>
        <w:tabs>
          <w:tab w:val="left" w:pos="1418"/>
        </w:tabs>
        <w:spacing w:line="360" w:lineRule="auto"/>
        <w:jc w:val="both"/>
        <w:rPr>
          <w:rFonts w:ascii="Bookman Old Style" w:hAnsi="Bookman Old Style"/>
        </w:rPr>
      </w:pPr>
    </w:p>
    <w:p w:rsidR="000C0CDA" w:rsidRDefault="000C0CDA" w:rsidP="000C0CDA">
      <w:pPr>
        <w:tabs>
          <w:tab w:val="left" w:pos="1418"/>
        </w:tabs>
        <w:spacing w:line="360" w:lineRule="auto"/>
        <w:jc w:val="both"/>
        <w:rPr>
          <w:rFonts w:ascii="Bookman Old Style" w:hAnsi="Bookman Old Style"/>
        </w:rPr>
      </w:pPr>
      <w:r>
        <w:rPr>
          <w:rFonts w:ascii="Bookman Old Style" w:hAnsi="Bookman Old Style"/>
        </w:rPr>
        <w:t xml:space="preserve">Bei einer Anmietung einer neuen Wohnung ist es daher gut möglich, dass Sie Betriebskosten zahlen müssen, die im Zeitraum des Vormieters angefallen sind. </w:t>
      </w:r>
      <w:r w:rsidR="001B4F41" w:rsidRPr="000C0CDA">
        <w:rPr>
          <w:rFonts w:ascii="Bookman Old Style" w:hAnsi="Bookman Old Style"/>
        </w:rPr>
        <w:t>Es ist daher ratsam, vor Anmietung einer Wohnung zu klären, ob Sie Gefahr laufen, so eine Nachzahlung tragen zu müssen.</w:t>
      </w:r>
      <w:r w:rsidR="007B44B4">
        <w:rPr>
          <w:rFonts w:ascii="Bookman Old Style" w:hAnsi="Bookman Old Style"/>
        </w:rPr>
        <w:t xml:space="preserve"> </w:t>
      </w:r>
      <w:r>
        <w:rPr>
          <w:rFonts w:ascii="Bookman Old Style" w:hAnsi="Bookman Old Style"/>
        </w:rPr>
        <w:t>Im Umkehrschluss haben Sie natürlich auch Anspruch auf ein allfälliges Guthaben des Vormieters.</w:t>
      </w:r>
      <w:r w:rsidR="00410BFA">
        <w:rPr>
          <w:rFonts w:ascii="Bookman Old Style" w:hAnsi="Bookman Old Style"/>
        </w:rPr>
        <w:t xml:space="preserve"> </w:t>
      </w:r>
    </w:p>
    <w:p w:rsidR="00410BFA" w:rsidRDefault="00410BFA" w:rsidP="000C0CDA">
      <w:pPr>
        <w:tabs>
          <w:tab w:val="left" w:pos="1418"/>
        </w:tabs>
        <w:spacing w:line="360" w:lineRule="auto"/>
        <w:jc w:val="both"/>
        <w:rPr>
          <w:rFonts w:ascii="Bookman Old Style" w:hAnsi="Bookman Old Style"/>
        </w:rPr>
      </w:pPr>
    </w:p>
    <w:p w:rsidR="00410BFA" w:rsidRDefault="00410BFA" w:rsidP="00410BFA">
      <w:pPr>
        <w:tabs>
          <w:tab w:val="left" w:pos="1418"/>
        </w:tabs>
        <w:spacing w:line="360" w:lineRule="auto"/>
        <w:jc w:val="both"/>
        <w:rPr>
          <w:rFonts w:ascii="Bookman Old Style" w:hAnsi="Bookman Old Style"/>
        </w:rPr>
      </w:pPr>
      <w:r>
        <w:rPr>
          <w:rFonts w:ascii="Bookman Old Style" w:hAnsi="Bookman Old Style"/>
        </w:rPr>
        <w:t>Ist auf Ihren Mietvertrag das Mietrechtsgesetz nur teilweise anzuwenden („</w:t>
      </w:r>
      <w:r w:rsidRPr="00410BFA">
        <w:rPr>
          <w:rFonts w:ascii="Bookman Old Style" w:hAnsi="Bookman Old Style"/>
          <w:u w:val="single"/>
        </w:rPr>
        <w:t>Teilanwendungsbereich des MRG</w:t>
      </w:r>
      <w:r>
        <w:rPr>
          <w:rFonts w:ascii="Bookman Old Style" w:hAnsi="Bookman Old Style"/>
        </w:rPr>
        <w:t>“) oder sind jene gesetzlichen Bestimmungen des allgemeinen Gesetzbuches maßgeblich, so hat der Vermieter die vom Mieter zu tragenden Betriebskosten im Mietvertrag exakt aufzuschlüsseln. Unterlässt der Vermieter dies, hat er die Betriebskosten grundsätzlich selbst zu tragen.</w:t>
      </w:r>
    </w:p>
    <w:p w:rsidR="00410BFA" w:rsidRDefault="00410BFA" w:rsidP="00410BFA">
      <w:pPr>
        <w:tabs>
          <w:tab w:val="left" w:pos="1418"/>
        </w:tabs>
        <w:spacing w:line="360" w:lineRule="auto"/>
        <w:jc w:val="both"/>
        <w:rPr>
          <w:rFonts w:ascii="Bookman Old Style" w:hAnsi="Bookman Old Style"/>
        </w:rPr>
      </w:pPr>
    </w:p>
    <w:p w:rsidR="00410BFA" w:rsidRDefault="00410BFA" w:rsidP="00410BFA">
      <w:pPr>
        <w:tabs>
          <w:tab w:val="left" w:pos="1418"/>
        </w:tabs>
        <w:spacing w:line="360" w:lineRule="auto"/>
        <w:jc w:val="both"/>
        <w:rPr>
          <w:rFonts w:ascii="Bookman Old Style" w:hAnsi="Bookman Old Style"/>
        </w:rPr>
      </w:pPr>
      <w:r>
        <w:rPr>
          <w:rFonts w:ascii="Bookman Old Style" w:hAnsi="Bookman Old Style"/>
        </w:rPr>
        <w:t xml:space="preserve">Die Fristen zur Abrechnung </w:t>
      </w:r>
      <w:proofErr w:type="spellStart"/>
      <w:r>
        <w:rPr>
          <w:rFonts w:ascii="Bookman Old Style" w:hAnsi="Bookman Old Style"/>
        </w:rPr>
        <w:t>bzw</w:t>
      </w:r>
      <w:proofErr w:type="spellEnd"/>
      <w:r>
        <w:rPr>
          <w:rFonts w:ascii="Bookman Old Style" w:hAnsi="Bookman Old Style"/>
        </w:rPr>
        <w:t xml:space="preserve"> Geltendmachung von Betriebskosten außerhalb des Mietrechtsgesetzes hängen grundsätzlich von den getroffenen vertraglichen Bestimmungen ab. </w:t>
      </w:r>
    </w:p>
    <w:p w:rsidR="000C0CDA" w:rsidRDefault="000C0CDA" w:rsidP="000C0CDA">
      <w:pPr>
        <w:tabs>
          <w:tab w:val="left" w:pos="1418"/>
        </w:tabs>
        <w:spacing w:line="360" w:lineRule="auto"/>
        <w:jc w:val="both"/>
        <w:rPr>
          <w:rFonts w:ascii="Bookman Old Style" w:hAnsi="Bookman Old Style"/>
        </w:rPr>
      </w:pPr>
    </w:p>
    <w:p w:rsidR="003D1231" w:rsidRPr="00B07590" w:rsidRDefault="000C0CDA" w:rsidP="000C0CDA">
      <w:pPr>
        <w:tabs>
          <w:tab w:val="left" w:pos="1418"/>
        </w:tabs>
        <w:spacing w:line="360" w:lineRule="auto"/>
        <w:jc w:val="both"/>
        <w:rPr>
          <w:rFonts w:ascii="Bookman Old Style" w:hAnsi="Bookman Old Style"/>
        </w:rPr>
      </w:pPr>
      <w:r>
        <w:rPr>
          <w:rFonts w:ascii="Bookman Old Style" w:hAnsi="Bookman Old Style"/>
        </w:rPr>
        <w:t xml:space="preserve">Wie oben aufgezeigt wurde, ist die Verrechnung von Betriebskosten äußerst komplex und sind schon aus diesem Grund viele Abrechnungen fehlerhaft. </w:t>
      </w:r>
      <w:r>
        <w:rPr>
          <w:rFonts w:ascii="Bookman Old Style" w:hAnsi="Bookman Old Style"/>
        </w:rPr>
        <w:lastRenderedPageBreak/>
        <w:t xml:space="preserve">Es empfiehlt sich daher diese genauestens zu überprüfen und gegebenenfalls einen Experten beizuziehen. </w:t>
      </w:r>
      <w:r w:rsidR="003D1231">
        <w:rPr>
          <w:rFonts w:ascii="Bookman Old Style" w:hAnsi="Bookman Old Style"/>
        </w:rPr>
        <w:t>Ihr Rechtsanwalt</w:t>
      </w:r>
      <w:r>
        <w:rPr>
          <w:rFonts w:ascii="Bookman Old Style" w:hAnsi="Bookman Old Style"/>
        </w:rPr>
        <w:t xml:space="preserve"> steht Ihnen</w:t>
      </w:r>
      <w:r w:rsidR="003D1231">
        <w:rPr>
          <w:rFonts w:ascii="Bookman Old Style" w:hAnsi="Bookman Old Style"/>
        </w:rPr>
        <w:t xml:space="preserve"> </w:t>
      </w:r>
      <w:r w:rsidR="00410BFA">
        <w:rPr>
          <w:rFonts w:ascii="Bookman Old Style" w:hAnsi="Bookman Old Style"/>
        </w:rPr>
        <w:t xml:space="preserve">dabei </w:t>
      </w:r>
      <w:r w:rsidR="003D1231">
        <w:rPr>
          <w:rFonts w:ascii="Bookman Old Style" w:hAnsi="Bookman Old Style"/>
        </w:rPr>
        <w:t>gerne zur Verfügung.</w:t>
      </w:r>
    </w:p>
    <w:p w:rsidR="003D1231" w:rsidRPr="003C7C66" w:rsidRDefault="003D1231" w:rsidP="003D1231"/>
    <w:p w:rsidR="00A65A2D" w:rsidRDefault="00A65A2D"/>
    <w:sectPr w:rsidR="00A65A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31"/>
    <w:rsid w:val="0001462A"/>
    <w:rsid w:val="000B2E08"/>
    <w:rsid w:val="000C0CDA"/>
    <w:rsid w:val="001B4F41"/>
    <w:rsid w:val="002A76E0"/>
    <w:rsid w:val="003D1231"/>
    <w:rsid w:val="00410BFA"/>
    <w:rsid w:val="00416CBE"/>
    <w:rsid w:val="007156CB"/>
    <w:rsid w:val="007B44B4"/>
    <w:rsid w:val="00A65A2D"/>
    <w:rsid w:val="00B142D7"/>
    <w:rsid w:val="00B634B5"/>
    <w:rsid w:val="00C95D47"/>
    <w:rsid w:val="00D2481A"/>
    <w:rsid w:val="00EB150B"/>
    <w:rsid w:val="00EB3E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E032"/>
  <w15:docId w15:val="{B6E3F185-26EA-4D35-9BC0-A265984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231"/>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2E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E08"/>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STIBOLLER Verena</dc:creator>
  <cp:lastModifiedBy>Stefan Zankl</cp:lastModifiedBy>
  <cp:revision>3</cp:revision>
  <cp:lastPrinted>2014-11-03T09:48:00Z</cp:lastPrinted>
  <dcterms:created xsi:type="dcterms:W3CDTF">2014-11-03T10:02:00Z</dcterms:created>
  <dcterms:modified xsi:type="dcterms:W3CDTF">2021-03-26T15:10:00Z</dcterms:modified>
</cp:coreProperties>
</file>